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«ОСНОВНЫЕ МУЗЫКАЛЬНЫЕ ФОРМЫ В ПРОГРАММЕ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ФОРТЕПИАННОГО КЛАССА ДМШ и ДШИ»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Методическая работа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Преподавателя класса фортепиано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МБУДО «Детская музыкальна школа № 6»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Сухининой Оксаны Геннадьевны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«Под конкретностью музыкальной формы нужно подразумевать способность музыки выражать и активизировать жизненное содержание, сливаясь с образом, идеей и чувством»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С. </w:t>
      </w:r>
      <w:proofErr w:type="spellStart"/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Фейнберг</w:t>
      </w:r>
      <w:proofErr w:type="spellEnd"/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первого класса педагог требует от ученика осмысленного исполнения программы. Он доступным языком объясняет ребенку содержание произведения, тщательно работает над техникой, оттенками, фразами. Но к понятию музыкаль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формы он подводит его позже.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часто учащиеся старших классов не могут определить границы экс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позиции, разработки, репризы в исполняемой ими сонате, не знакомы с принци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пом построения фуги. Именно поэтому у них случаются срывы и неудачи на кон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цертах, экзаменах и зачетах.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распространенных ошибок является исполнение учеником побоч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партии сонатного аллегро в репризе в тональности экспозиции. Или же другая ошибка: забыв какое-то место в середине или в конце инвенции, ученик начинает играть произведение с самого начала вместо того, чтобы вернуться и повторить тот раздел формы, где она произошла. Педагог объясняет такие ошибки сцениче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ским волнением. Но на самом деле одной из важных причин «распада» формы на эстраде является неосведомленность учащегося в вопросах, касающихся законо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мерностей строения музыкального произведения.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изучения музыкальной формы в старших и младших классах имеют свою специфику, обусловленную различием в возрасте и уровнем подго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товки. Ученик младших классов должен знать такие музыкальные термины как «цезура», «фраза», «реприза», «секвенция», «кульминация» и т.д. Затем, в сред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них и старших классах знания углубляются и уточняются.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самого начала ребенок должен представлять, что первичной смысловой ячейкой музыки является фраза. Объясняя строение конкретной музыкальной фразы, педагог невольно проводит анализ: помогает учащемуся найти в ней логи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ческий акцент, прослеживает направление мелодической линии, разбирает интер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вальный состав. Самый яркий звук обычно бывает кульминационным, но подойти к нему можно по-разному. Если ход мелодии плавный, то и крещендо будет плав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ным, постепенным. Если же кульминация взята скачком, то требуется особо выра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зительное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пропевание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этого интервала. Когда во фразе две яркие точки, то нужно разделить ее на более мелкие построения и проработать их. Если ребенок этого не слышит и играет однообразно, можно попросить его спеть данный отрезок, выде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лив голосом выразительно значимые звуки. При фальшивом пении можно помочь ему подыгрывая на инструменте, а можно спеть данный отрезок вместе с ним, по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казав движением руки вверх кульминационные звуки.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наглядности нужно заставить его нарисовать цветным карандашом волнообразную линию, имитирующую движение данного отрывка. При этом бо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выделить узловые моменты.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необходимо делать для того, чтобы направить слуховое внимание уче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 на осмысленно выразительное исполнение. При этом будут задействованы не только слуховые центры, но также двигательный, и зрительный.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Добившись относительно яркого исполнения одной музыкальной фразы, педагог ведет ученика дальше. Таким же образом прорабатывается вторая, третья фраза и т.д. На следующем этапе работы мы объединяем несколько фраз в одно целое построение с единым общим центром – кульминацией. Для сравнения – пе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дагог может исполнить пьесу гладко, благополучно, но скучно (без кульминации), а потом – исполнить ее ярко, с воодушевлением. Это заложит в воображении уче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 представление о музыкальном образе кульминации. Для наглядности вместе с учащимся можно изобразить волнообразными линиями строение исполняемой пьесы, более яркими цветами раскрасив кульминационные точки.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Работая с учащимися над музыкальным произведением, нужно иметь в виду, что конечной целью его разучивания является законченное и выразитель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исполнение. Поэтому в процессе работы педагог должен уделять внимание пониманию учащимся цельности, стройности формы исполняемого произведения. Очень важно не делать поправок по ходу исполнения пьесы. Исправленный эпи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зод нарушает закон формы, установленный автором. Если преподаватель будет с самого начала требователен в этом отношении, то и ученик будет работать над охватом целого: сначала будет меньше допускать ошибок, а потом добьется без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ошибочного исполнения.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Важным фактором исполнительского процесса является взаимосвязь части и целого. Нужно приучать ребенка сразу «входить в образ» исполняемого произ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ведения, так как первая фраза определяет характер и настроение всего произведе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ния. Для этого ему полезно перед началом выступления пропеть про себя первые такты пьесы.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исполнения ученик также должен следить за тем, чтобы не «спадали» кульминационные точки. Для этого надо научить учащегося рассчиты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вать звуковой рисунок так, чтобы образовывалась общая большая волна, ведущая к главной кульминации. Тогда исполняемое произведение будет целостным и ло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гически выстроенным.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не стоит забывать и то, что смазанный конец произведения разру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шает общее впечатление от исполнения. Чем крупнее форма, тем сложнее охва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тить ее в целом. Поэтому нужно научить учащегося рассчитывать свои силы та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ким образом, чтобы он смог донести образ исполняемого произведения от начала до конца. Тогда его исполнение создаст единое и законченное впечатление.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же такое музыкальная форма? «Музыкальная форма – это строение му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зыкального произведения. Определяется она содержанием каждого конкретного произведения, создается в единстве с содержанием и характеризуется взаимодей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ствием всех определенных звуковых элементов, распределенных во времени».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всем богатстве форм музыки они разделяются на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гомофонические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по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softHyphen/>
        <w:t>лифонические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Гомофонические формы - это те, где один голос имеет ведущее значение. А полифонические – это формы, в которых все голоса мелодически равноправны и самостоятельны.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каждого произведения индивидуальна и неповторима. Тем не менее, законы и правила образования формы имеют общие признаки в строении. Каждая часть имеет свою функцию. Основных функций в форме – шесть: вступление, из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ложение темы/тем, связующая часть, середина, реприза и заключение.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Наименьшей формой, выражающей относительно законченную мысль, яв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ляется </w:t>
      </w: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период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крупные разделы периода называются </w:t>
      </w: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предложениями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Предло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жения периодов подразделяются на построения более мелкие – </w:t>
      </w: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фразы.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Фразу можно выделить по смыслу и, кроме того, она обособлена ритмически (признак фразы – две сильные доли). Фраза может быть неделимой или подразделяться на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однотактовые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построения – </w:t>
      </w: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мотивы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lastRenderedPageBreak/>
        <w:t>Периоды.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Период, который начинается и заканчивается в одной тональности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ется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однотональным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(Например, первый период «Адажио» Д.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Штейбельта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пер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вый период «Мазурки» А. Гречанинова).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Период, который начинается в одной тональности, а заканчивается в дру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гой,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называется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модулирующим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(Например, первый период «Жаворонка» М. Глинки – начало – e-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moll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конец – G-dur. первый период И. Баха «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Менуэта »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d-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moll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начало - d-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moll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конец F-dur).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Периоды бывают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u w:val="single"/>
          <w:lang w:eastAsia="ru-RU"/>
        </w:rPr>
        <w:t>квадратного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u w:val="single"/>
          <w:lang w:eastAsia="ru-RU"/>
        </w:rPr>
        <w:t>неквадратного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строения. Основные вари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анты квадратности выражаются в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четырехтактовости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частей: первое предложение – 4 (или 8 тактов) и второе предложение - 4 (или 8 тактов) (И. Баха «Менуэт» d-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moll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1-м периоде оба предложения по 4 такта И. Баха «Менуэт» G-dur в первом периоде каждое предложение по 8 тактов)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Встречаются периоды по 4 такта (2+2), где каждый такт можно принять за два (первый период «Колыбельной» Филиппа, первый период «Дождика» С.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капара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Примером периода неквадратного строения служат первые периоды пьес «В стране гномов»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Роули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(4+5) и «Хора» П. Чайковского (5+7).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периоды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повторного 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proofErr w:type="spellStart"/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неповторного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строения. На примере пьес Чай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ковского «Полька», «Новая кукла» видно, что 2-ое предложение построено на по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вторении материала первого. Эти два периода повторного строения. А вторые предложения «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Менуэта »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d-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moll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 Баха и «Декабря» П. Чайковского построены на новом материале. Это периоды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неповторного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строения.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Периоды, заканчивающиеся устойчивой каденцией, называются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замкну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softHyphen/>
        <w:t>тыми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(А.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Майкапар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«В садике»,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Д.Кабалевский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«Клоуны»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.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 в конце пе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риода каденция неустойчивая, то такой период называется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разомкнутым. 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Б.Печерский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«Сонная кукла»).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расширенные и сокращенные периоды. У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расширенных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периодов уве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личено 2-ое предложение первые периоды пьес П. Чайковского «Июнь» и «Ян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варь»). Сокращение второго предложения применяется реже, в связи с тем, что оно имеет б</w:t>
      </w:r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льший логический вес как завершение формы.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 может выступать как самостоятельная форма (Ф. Шопен «Прелю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дия» A-dur»), а также быть составной частью музыкальной формы (см. ниже пе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речисленные примеры).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Простая </w:t>
      </w:r>
      <w:proofErr w:type="gramStart"/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двух-частная</w:t>
      </w:r>
      <w:proofErr w:type="gramEnd"/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форма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Форма, состоящая из двух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периодов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называется </w:t>
      </w: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простой двух-частной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Она подразделяется на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репризную 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нерепризную</w:t>
      </w:r>
      <w:proofErr w:type="spellEnd"/>
      <w:proofErr w:type="gramEnd"/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.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репризной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двух-частной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форме вторая часть обязательно должна иметь повторение одного из предложений пер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вой части. (Д.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Штейбельт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«Адажио» - во второй части повторяется второе пред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ложение первой части). В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нерепризных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двух-частных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формах повторений во вто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рой части нет. (И. Бах «Маленькая прелюдия g-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moll</w:t>
      </w:r>
      <w:proofErr w:type="spellEnd"/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)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Простая </w:t>
      </w:r>
      <w:proofErr w:type="gramStart"/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трех-частная</w:t>
      </w:r>
      <w:proofErr w:type="gramEnd"/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форма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Простой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трех-частной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формой называется форма, которая состоит из трех периодов, где первая и третья части построены на одном и том же материале. Средняя часть может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контрастной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неконтрастной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трех-частных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мах середина может контрастировать с крайними частями в различных отноше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ниях – тональности, ладе, регистре, тембре, фактуре, кроме тематики. Это –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не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softHyphen/>
        <w:t>контрастная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форма.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П.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Чайковский «Марш деревянных солдатиков», Р. Шуман «Смелый наездник»). В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контрастной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же форме середина основана на новой теме, которая контрастирует с крайними частями (Д. Шостакович «Марш».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Существуют еще двойные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трех-частные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формы, в которых повторяются вторая и третья части, причем вместе. (Э. Григ «Танец эльфов», «Мелодия a-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moll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lastRenderedPageBreak/>
        <w:t xml:space="preserve">Сложная </w:t>
      </w:r>
      <w:proofErr w:type="gramStart"/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трех-частная</w:t>
      </w:r>
      <w:proofErr w:type="gramEnd"/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 xml:space="preserve"> форма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этой форме каждая часть – простая форма (двух или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трех-частная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Вторая часть в этой форме бывает двух типов: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u w:val="single"/>
          <w:lang w:eastAsia="ru-RU"/>
        </w:rPr>
        <w:t>типа трио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 всем выразительным средствам (мелодии, гармонии, мо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дуляций, фактуры) эта часть проще крайних частей. (П. Чайковский «Вальс» из «Детского альбома», Й. Гайдн «Соната G-dur» ч.2).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u w:val="single"/>
          <w:lang w:eastAsia="ru-RU"/>
        </w:rPr>
        <w:t>типа эпизода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здесь нет четкой формы. Развитие более свободное (много модуляций, секвенций, неустойчивых гармоний) (П. Чайковский «Май»).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Рондо</w:t>
      </w:r>
      <w:bookmarkStart w:id="0" w:name="_GoBack"/>
      <w:bookmarkEnd w:id="0"/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Рондо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называется такая форма, в которой одна и та же тема проводится не менее трех раз, а между ее проведениями помещаются части иного содержания, чаще всего – нового. Повторяющаяся тема называется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рефрен 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главная пар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softHyphen/>
        <w:t>тия.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Части, расположенные между проведениями главной партии, называют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эпи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softHyphen/>
        <w:t>зодами.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Рассмотреть строение этой формы можно на примере «Рондо» Р. Глиэра. Начинается она рефреном, написанным в форме периода, который заканчивается в доминантовой тональности (8 тактов). Затем проходит первый эпизод, постро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енный на материале главной партии. Он написан в другом регистре, более напря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женный по характеру и более неустойчивый (8 тактов). За эпизодом опять прохо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дит рефрен (8 тактов), который плавно переходит во второй эпизод, который про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строен совсем на другом материале и более контрастен первому эпизоду и реф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рену. В нем меняется ритм, фактура, тональность. Заканчивается «Рондо» рефре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в основной тональности.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рондо относится к сочинениям крупной формы. Рондо может пред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ставлять собой как самостоятельное произведение, так и часть цикла.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Вариации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произведений крупной формы видное место занимают традиционные циклы. Они сочетают в себе элементы как крупной, так и малой формы. Цель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вариационного цикла достигается тематическим единством. Большое зна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чение имеют цезуры между отдельными вариациями, которые разъединяют их, тем самым размельчив или укрупнив форму.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Вариации бывают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строгими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свободными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Строгие вариации связаны ме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жду собой тональностью и тематическим единством В программе музыкальной школы мы сталкиваемся, в основном, с формой строгих вариаций (Д.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Кабалевский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«Легкие вариации на тему словацкой народной песни»).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СОНАТНАЯ ФОРМА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Сонатной называется форма, основанная на противопоставлении двух тем, которые при первом изложении контрастируют и тематически, и тонально, а по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сле разработки обе повторяются в главной тональности.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Сонатная форма (сонатное аллегро) состоит из трех частей: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экспозиции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разработки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репризы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экспозиции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излагаются две противоположные темы –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главная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побоч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softHyphen/>
        <w:t>ная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Главная партия написана в основной тональности. Между главной и побоч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темой существует построение, называющееся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связующей партией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Эта партия основана на материале главной и подвергается развитию и преобразованию. Она выполняет соединительную роль, так как в ней содержится модулирование в то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нальность побочной партии. В теме побочной партии ярко выражены черты кон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траста к предыдущей музыке. Со стороны гармонии самое важное то, что побоч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ная 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партия в экспозиции проходит: в мажорных тональностях – в тональности до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минанты (В. Моцарт «Соната C-dur»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г.п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C-dur,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G-dur), а в минорных – в параллельном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мажоре.(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Й. Гайдн «Соната e-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moll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 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г.п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–, e-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moll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G-dur).К по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бочной партии примыкает последний раздел экспозиции –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заключительная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пар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softHyphen/>
        <w:t>тия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Она служит дополнением побочной и, как правило, протекает в ее тонально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Вторая часть сонатного аллегро – </w:t>
      </w: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разработка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. 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нее характерно прове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дение кратких оборотов тем экспозиции, полученных в результате вычленения, модулирующие секвенции и элементы полифонии. С гармонической стороны важна общая тональная неустойчивость и избегание основной тональности.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Последняя часть сонатного аллегро – </w:t>
      </w: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реприза</w:t>
      </w:r>
      <w:r w:rsidRPr="00A729D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ru-RU"/>
        </w:rPr>
        <w:t>. 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Она представляет собой итог развития. В ней повторяется весь материал экспозиции в том же порядке, но с тональными изменениями. Связующая партия перестраивается таким образом, чтобы остаться в главной тональности, а побочная и заключительная партии – транспонируются в нее.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примере «Сонаты D-dur» Й. Гайдна рассмотрим строение сонатного ал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легро. Экспозиция начинается изложением главной партии в основной тонально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сти. Написана она в форме периода (8 тактов). Характер ее решительный и на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стойчивый. За ней идет связующая партия (8 тактов), которая написана в той же тональности и по характеру похожа на главную. В ее последних тактах появляется доминантовая (A-dur) тональность. С 17-го такта начинается побочная партия, за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метно превышающая размеры главной (18 тактов) и состоящая из двух разноха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рактерных тем. Первая ее тема, по характеру утонченная и изящная и исполняется на Р. Вторая тема побочной партии – решительная и более напряженная. По ха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рактеру она напоминает предыдущий материал экспозиции и заканчивается раз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машистыми арпеджированными аккордами в тональности доминанты. Заключи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тельная партия (6 тактов) утверждает доминантовую тональность. Разработка по своему объему небольшая (20 тактов). Все темы экспозиции даются здесь в со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кращенном виде. Сокращение разработки идет за счет наложения одних тем на другие (в полифоническом сочетании). Реприза начинается главной партией, но второе ее предложение увеличено за счет внедрение в него второго элемента по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бочной партии. Связующая партия, наоборот, сокращена по сравнению с экспози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цией (6 тактов). Заканчивается она в доминантовой тональности. Побочная партия репризы начинается очень интересно: в верхнем голосе продолжается тональ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доминанты, а в нижнем – идет основная тональность. По протяженности побочная партия равна размерам ее в экспозиции. Заканчивается сонатное аллегро заключительной партией в основной тональности.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Подготовительным этапом к сонатам Й. Гайдна, В. Моцарта, Л. Бетховена служит маленькие сонатины, в которых в миниатюре происходит все, что харак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терно для сонатной формы.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ВИДОИЗМЕНЕНИЕ СОНАТНОЙ ФОРМЫ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наиболее типичных видоизменений сонатной формы является от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сутствие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разработки( при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нормальном строении экспозиции и репризы). Таким образом она становится из трехчастной формы двух частной. Но наличие в экспо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зиции двух разнохарактерных тем, в первой части протекающих в разных тональ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ностях, а во второй части – в одной, позволяет отличать ее от других форм (Н. Некрасов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«.Сонатина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e-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moll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2-ая часть).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маленькими детьми наиболее ответственна и трудна, так как пер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вый педагог закладывает фундамент будущего отношения к музыке. Известный пианист и педагог И. Гофман сказал: «Начало, дело такой огромной важности, что тут хорошо только самое лучшее».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 строением музыкального произведения педагог знакомит учащихся с первых классов обучения. Процесс работы должен быть постепенным и прохо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дить с учетом особенностей детского возраста. Нужно постараться не отпугнуть ребенка скучными непонятными 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терминами, не заставлять зазубривать теоретиче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ский материал, а также не перегружать его мышление непосильными задачами.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Широко известно, что процесс обучения ребенка базируется на использова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тех психофизических особенностей, которые присущи каждой возрастной ка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тегории.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более глубокого изучения определенного вида музыкальной формы я провожу с учащимися своего класса групповые занятия, объединяя их по классам. Проходят они следующим образом. Предварительно нарисовав схему формы произведения, каждый учащийся в классе подробно рассказывает его строение, объясняя при этом, почему он выбрал именно эту комбинацию фигур и цветов, а затем исполняет это произведение на инструменте. Остальные внима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 слушают и после выступления обсуждают его исполнение. Таким образом дети знакомятся с разновидностями изучаемой формы, а не только с формой ра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зученного ими произведения.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я объединяю возрастные группы для того, чтобы младшие учащиеся слышали в исполнении старших как при одной и той же схеме расширяются и ук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рупняются разделы формы. В результате у учащихся с раннего возраста приобре</w:t>
      </w: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тается навык по анализу формы музыкального произведения.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Список литературы, использованной при подготовке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Алексеев Н. Методика обучения игре на фортепиано, М., 1982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Артоболевская А. Первая встреча с музыкой, М.,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Российское музыкальное изд-во, 1996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Калинина Н. Клавирная музыка Баха в фортепианном классе, Л.,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Музыка, 1988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Коган Г. Работа пианиста,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М., Музыка 1979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Нейгауз Г. Об искусстве фортепианной игры,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М., 1982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Способин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 Музыкальная форма,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М. Музыка 1984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Тимакин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 Воспитание пианиста,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М., 1989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Филатова Л. Пособие по теории музыки, </w:t>
      </w:r>
      <w:proofErr w:type="gram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Престо</w:t>
      </w:r>
      <w:proofErr w:type="gram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М., 1999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Шатковский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 Развитие музыкального слуха, М., Музыка, 1996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Юдовина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-Гальперина Т. За роялем без слез, или Я- детский педагог,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СПб.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Предприятие С.-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Петерб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союза художников 1996</w:t>
      </w:r>
    </w:p>
    <w:p w:rsidR="00A729DC" w:rsidRPr="00A729DC" w:rsidRDefault="00A729DC" w:rsidP="00F836F5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Масару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Ибука</w:t>
      </w:r>
      <w:proofErr w:type="spellEnd"/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После трех уже поздно, </w:t>
      </w:r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(О воспитании </w:t>
      </w:r>
      <w:proofErr w:type="gramStart"/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детей :</w:t>
      </w:r>
      <w:proofErr w:type="gramEnd"/>
      <w:r w:rsidRPr="00A729D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Пер. с англ.) М. Знание 1992</w:t>
      </w:r>
    </w:p>
    <w:p w:rsidR="00A729DC" w:rsidRPr="00A729DC" w:rsidRDefault="00A729DC" w:rsidP="00F836F5">
      <w:pPr>
        <w:shd w:val="clear" w:color="auto" w:fill="FFFFFF" w:themeFill="background1"/>
        <w:spacing w:before="150" w:after="15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29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3E86" w:rsidRDefault="00393E86"/>
    <w:sectPr w:rsidR="0039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B1"/>
    <w:rsid w:val="00393E86"/>
    <w:rsid w:val="003F5DB1"/>
    <w:rsid w:val="00957893"/>
    <w:rsid w:val="00A729DC"/>
    <w:rsid w:val="00F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E9E8-D3C9-404B-B595-455A642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9DC"/>
  </w:style>
  <w:style w:type="paragraph" w:styleId="a4">
    <w:name w:val="Balloon Text"/>
    <w:basedOn w:val="a"/>
    <w:link w:val="a5"/>
    <w:uiPriority w:val="99"/>
    <w:semiHidden/>
    <w:unhideWhenUsed/>
    <w:rsid w:val="00A7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cp:lastPrinted>2016-08-18T09:23:00Z</cp:lastPrinted>
  <dcterms:created xsi:type="dcterms:W3CDTF">2016-08-18T09:02:00Z</dcterms:created>
  <dcterms:modified xsi:type="dcterms:W3CDTF">2016-08-18T09:23:00Z</dcterms:modified>
</cp:coreProperties>
</file>